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760" w:type="dxa"/>
            <w:vAlign w:val="bottom"/>
          </w:tcPr>
          <w:p>
            <w:pPr>
              <w:spacing w:after="0"/>
              <w:rPr>
                <w:sz w:val="20"/>
                <w:szCs w:val="20"/>
                <w:color w:val="auto"/>
              </w:rPr>
            </w:pPr>
          </w:p>
        </w:tc>
      </w:tr>
      <w:tr>
        <w:trPr>
          <w:trHeight w:val="414"/>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760" w:type="dxa"/>
            <w:vAlign w:val="bottom"/>
          </w:tcPr>
          <w:p>
            <w:pPr>
              <w:spacing w:after="0"/>
              <w:rPr>
                <w:sz w:val="24"/>
                <w:szCs w:val="24"/>
                <w:color w:val="auto"/>
              </w:rPr>
            </w:pPr>
          </w:p>
        </w:tc>
      </w:tr>
      <w:tr>
        <w:trPr>
          <w:trHeight w:val="234"/>
        </w:trPr>
        <w:tc>
          <w:tcPr>
            <w:tcW w:w="2980" w:type="dxa"/>
            <w:vAlign w:val="bottom"/>
          </w:tcPr>
          <w:p>
            <w:pPr>
              <w:spacing w:after="0"/>
              <w:rPr>
                <w:sz w:val="20"/>
                <w:szCs w:val="20"/>
                <w:color w:val="auto"/>
              </w:rPr>
            </w:pPr>
          </w:p>
        </w:tc>
        <w:tc>
          <w:tcPr>
            <w:tcW w:w="55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w w:val="99"/>
              </w:rPr>
              <w:t>Pursuant to Section 13 or 15(d) of the Securities Exchange Act of 1934</w:t>
            </w:r>
          </w:p>
        </w:tc>
        <w:tc>
          <w:tcPr>
            <w:tcW w:w="2760" w:type="dxa"/>
            <w:vAlign w:val="bottom"/>
          </w:tcPr>
          <w:p>
            <w:pPr>
              <w:spacing w:after="0"/>
              <w:rPr>
                <w:sz w:val="20"/>
                <w:szCs w:val="20"/>
                <w:color w:val="auto"/>
              </w:rPr>
            </w:pPr>
          </w:p>
        </w:tc>
      </w:tr>
      <w:tr>
        <w:trPr>
          <w:trHeight w:val="432"/>
        </w:trPr>
        <w:tc>
          <w:tcPr>
            <w:tcW w:w="2980" w:type="dxa"/>
            <w:vAlign w:val="bottom"/>
          </w:tcPr>
          <w:p>
            <w:pPr>
              <w:spacing w:after="0"/>
              <w:rPr>
                <w:sz w:val="24"/>
                <w:szCs w:val="24"/>
                <w:color w:val="auto"/>
              </w:rPr>
            </w:pPr>
          </w:p>
        </w:tc>
        <w:tc>
          <w:tcPr>
            <w:tcW w:w="55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rPr>
              <w:t>Date of Report (Date of earliest event reported): June 26, 2026</w:t>
            </w:r>
          </w:p>
        </w:tc>
        <w:tc>
          <w:tcPr>
            <w:tcW w:w="2760" w:type="dxa"/>
            <w:vAlign w:val="bottom"/>
          </w:tcPr>
          <w:p>
            <w:pPr>
              <w:spacing w:after="0"/>
              <w:rPr>
                <w:sz w:val="24"/>
                <w:szCs w:val="24"/>
                <w:color w:val="auto"/>
              </w:rPr>
            </w:pPr>
          </w:p>
        </w:tc>
      </w:tr>
      <w:tr>
        <w:trPr>
          <w:trHeight w:val="412"/>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BIOMX INC.</w:t>
            </w:r>
          </w:p>
        </w:tc>
        <w:tc>
          <w:tcPr>
            <w:tcW w:w="2760" w:type="dxa"/>
            <w:vAlign w:val="bottom"/>
          </w:tcPr>
          <w:p>
            <w:pPr>
              <w:spacing w:after="0"/>
              <w:rPr>
                <w:sz w:val="24"/>
                <w:szCs w:val="24"/>
                <w:color w:val="auto"/>
              </w:rPr>
            </w:pPr>
          </w:p>
        </w:tc>
      </w:tr>
      <w:tr>
        <w:trPr>
          <w:trHeight w:val="236"/>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6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i w:val="1"/>
                <w:iCs w:val="1"/>
                <w:color w:val="auto"/>
                <w:w w:val="99"/>
              </w:rPr>
              <w:t>(Exact name of registrant as specified in its charter)</w:t>
            </w:r>
          </w:p>
        </w:tc>
        <w:tc>
          <w:tcPr>
            <w:tcW w:w="2760" w:type="dxa"/>
            <w:vAlign w:val="bottom"/>
          </w:tcPr>
          <w:p>
            <w:pPr>
              <w:spacing w:after="0"/>
              <w:rPr>
                <w:sz w:val="20"/>
                <w:szCs w:val="20"/>
                <w:color w:val="auto"/>
              </w:rPr>
            </w:pPr>
          </w:p>
        </w:tc>
      </w:tr>
      <w:tr>
        <w:trPr>
          <w:trHeight w:val="453"/>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Delaware</w:t>
            </w:r>
          </w:p>
        </w:tc>
        <w:tc>
          <w:tcPr>
            <w:tcW w:w="446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001-38762</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82-3364020</w:t>
            </w:r>
          </w:p>
        </w:tc>
      </w:tr>
      <w:tr>
        <w:trPr>
          <w:trHeight w:val="198"/>
        </w:trPr>
        <w:tc>
          <w:tcPr>
            <w:tcW w:w="2980" w:type="dxa"/>
            <w:vAlign w:val="bottom"/>
            <w:tcBorders>
              <w:top w:val="single" w:sz="8" w:color="auto"/>
            </w:tcBorders>
          </w:tcPr>
          <w:p>
            <w:pPr>
              <w:jc w:val="center"/>
              <w:ind w:left="55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jc w:val="center"/>
              <w:ind w:right="7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6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850 New Burton Road, Suite 201</w:t>
            </w:r>
          </w:p>
        </w:tc>
        <w:tc>
          <w:tcPr>
            <w:tcW w:w="2760" w:type="dxa"/>
            <w:vAlign w:val="bottom"/>
          </w:tcPr>
          <w:p>
            <w:pPr>
              <w:spacing w:after="0"/>
              <w:rPr>
                <w:sz w:val="24"/>
                <w:szCs w:val="24"/>
                <w:color w:val="auto"/>
              </w:rPr>
            </w:pPr>
          </w:p>
        </w:tc>
      </w:tr>
      <w:tr>
        <w:trPr>
          <w:trHeight w:val="214"/>
        </w:trPr>
        <w:tc>
          <w:tcPr>
            <w:tcW w:w="2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Dover, Delaware 19904</w:t>
            </w:r>
          </w:p>
        </w:tc>
        <w:tc>
          <w:tcPr>
            <w:tcW w:w="2760" w:type="dxa"/>
            <w:vAlign w:val="bottom"/>
          </w:tcPr>
          <w:p>
            <w:pPr>
              <w:spacing w:after="0"/>
              <w:rPr>
                <w:sz w:val="18"/>
                <w:szCs w:val="18"/>
                <w:color w:val="auto"/>
              </w:rPr>
            </w:pPr>
          </w:p>
        </w:tc>
      </w:tr>
      <w:tr>
        <w:trPr>
          <w:trHeight w:val="236"/>
        </w:trPr>
        <w:tc>
          <w:tcPr>
            <w:tcW w:w="2980" w:type="dxa"/>
            <w:vAlign w:val="bottom"/>
          </w:tcPr>
          <w:p>
            <w:pPr>
              <w:spacing w:after="0"/>
              <w:rPr>
                <w:sz w:val="20"/>
                <w:szCs w:val="20"/>
                <w:color w:val="auto"/>
              </w:rPr>
            </w:pPr>
          </w:p>
        </w:tc>
        <w:tc>
          <w:tcPr>
            <w:tcW w:w="55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 including zip code)</w:t>
            </w:r>
          </w:p>
        </w:tc>
        <w:tc>
          <w:tcPr>
            <w:tcW w:w="2760" w:type="dxa"/>
            <w:vAlign w:val="bottom"/>
          </w:tcPr>
          <w:p>
            <w:pPr>
              <w:spacing w:after="0"/>
              <w:rPr>
                <w:sz w:val="20"/>
                <w:szCs w:val="20"/>
                <w:color w:val="auto"/>
              </w:rPr>
            </w:pPr>
          </w:p>
        </w:tc>
      </w:tr>
      <w:tr>
        <w:trPr>
          <w:trHeight w:val="412"/>
        </w:trPr>
        <w:tc>
          <w:tcPr>
            <w:tcW w:w="2980" w:type="dxa"/>
            <w:vAlign w:val="bottom"/>
          </w:tcPr>
          <w:p>
            <w:pPr>
              <w:spacing w:after="0"/>
              <w:rPr>
                <w:sz w:val="24"/>
                <w:szCs w:val="24"/>
                <w:color w:val="auto"/>
              </w:rPr>
            </w:pPr>
          </w:p>
        </w:tc>
        <w:tc>
          <w:tcPr>
            <w:tcW w:w="446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9"/>
              </w:rPr>
              <w:t>(972) 52-437-4900</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36"/>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6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2760" w:type="dxa"/>
            <w:vAlign w:val="bottom"/>
          </w:tcPr>
          <w:p>
            <w:pPr>
              <w:spacing w:after="0"/>
              <w:rPr>
                <w:sz w:val="20"/>
                <w:szCs w:val="20"/>
                <w:color w:val="auto"/>
              </w:rPr>
            </w:pPr>
          </w:p>
        </w:tc>
      </w:tr>
      <w:tr>
        <w:trPr>
          <w:trHeight w:val="412"/>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color w:val="auto"/>
                <w:w w:val="99"/>
              </w:rPr>
              <w:t>Not Applicable</w:t>
            </w:r>
          </w:p>
        </w:tc>
        <w:tc>
          <w:tcPr>
            <w:tcW w:w="2760" w:type="dxa"/>
            <w:vAlign w:val="bottom"/>
          </w:tcPr>
          <w:p>
            <w:pPr>
              <w:spacing w:after="0"/>
              <w:rPr>
                <w:sz w:val="24"/>
                <w:szCs w:val="24"/>
                <w:color w:val="auto"/>
              </w:rPr>
            </w:pPr>
          </w:p>
        </w:tc>
      </w:tr>
      <w:tr>
        <w:trPr>
          <w:trHeight w:val="236"/>
        </w:trPr>
        <w:tc>
          <w:tcPr>
            <w:tcW w:w="2980" w:type="dxa"/>
            <w:vAlign w:val="bottom"/>
          </w:tcPr>
          <w:p>
            <w:pPr>
              <w:spacing w:after="0"/>
              <w:rPr>
                <w:sz w:val="20"/>
                <w:szCs w:val="20"/>
                <w:color w:val="auto"/>
              </w:rPr>
            </w:pPr>
          </w:p>
        </w:tc>
        <w:tc>
          <w:tcPr>
            <w:tcW w:w="55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9"/>
              </w:rPr>
              <w:t>(Former name or former address, if changed since last report)</w:t>
            </w:r>
          </w:p>
        </w:tc>
        <w:tc>
          <w:tcPr>
            <w:tcW w:w="276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PHGE</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(Section 230.405 of this chapter) or Rule 12b-2 of the Securities Exchange Act of 1934 (Section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BiomX Inc. (the “Company”) held its 2026 Annual Meeting of Stockholders (the “Annual Meeting”) on June 26, 2026 in a virtual meeting format. As of June 2, 2026, the record date for the Annual Meeting, there were 11,160,153 shares of the Company’s common stock, par value $0.0001 per share, outstanding and entitled to vote. A total of 4,518,349 shares were represented in person (virtually) or by proxy at the Annual Meeting, representing approximately 40.5% of the shares entitled to vote and constituting a quorum.</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vote results detailed below represent the final results as certified by the Inspector of Elections. The number of votes cast for, against or withheld, as well as the number of abstentions and broker non-votes as to each proposal are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Ran Shaked, the Company’s sole Class III director nominee, to serve until the 2029 Annual Meeting of Stockholders and until his successor has been duly elected and qualified. The voting results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37"/>
        </w:trPr>
        <w:tc>
          <w:tcPr>
            <w:tcW w:w="7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Ran Shaked</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7"/>
              </w:rPr>
              <w:t>5,120,627</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Approval of an Amendment to the BiomX Inc. 2026 Equity Incentive Plan.</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an amendment to the BiomX Inc. 2026 Equity Incentive Plan to increase the number of shares of common stock reserved and available for issuance thereunder by 5,460,000 shares, to 6,850,000 shares from 1,390,000 shares. The voting results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82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4,351,470</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775,111</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33,842</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Adjournment Proposal.</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the proposal to adjourn the Annual Meeting, if necessary, to solicit additional proxies if there were insufficient votes at the time of the Annual Meeting to approve one or more of the foregoing proposals. The voting results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82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4,462,767</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667,020</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30,636</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Proposals 1 and 2 received sufficient votes for approval, no adjournment of the Annual Meeting was necessary.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13"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ind w:left="5580" w:right="432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BiomX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26,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Oster</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Michael Oster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2026-06-26T18:29:35Z</dcterms:created>
  <dcterms:modified xsi:type="dcterms:W3CDTF">2026-06-26T18:29:35Z</dcterms:modified>
</cp:coreProperties>
</file>