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633-8k_biomx.htm"/>
      <w:bookmarkStart w:id="1" w:name="ksea02976338k_biomx"/>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F_edei--DocumentType_c20260710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BIOMX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300" w:type="dxa"/>
        <w:jc w:val="left"/>
        <w:tblInd w:w="0" w:type="dxa"/>
        <w:tblLayout w:type="fixed"/>
        <w:tblCellMar>
          <w:top w:w="0" w:type="dxa"/>
          <w:left w:w="0" w:type="dxa"/>
          <w:bottom w:w="28" w:type="dxa"/>
          <w:right w:w="0" w:type="dxa"/>
        </w:tblCellMar>
      </w:tblPr>
      <w:tblGrid>
        <w:gridCol w:w="2435"/>
        <w:gridCol w:w="60"/>
        <w:gridCol w:w="2195"/>
        <w:gridCol w:w="60"/>
        <w:gridCol w:w="1550"/>
      </w:tblGrid>
      <w:tr>
        <w:trPr/>
        <w:tc>
          <w:tcPr>
            <w:tcW w:w="2435" w:type="dxa"/>
            <w:tcBorders>
              <w:bottom w:val="single" w:sz="12" w:space="0" w:color="000000"/>
            </w:tcBorders>
            <w:vAlign w:val="center"/>
          </w:tcPr>
          <w:p>
            <w:pPr>
              <w:pStyle w:val="TableContents"/>
              <w:bidi w:val="0"/>
              <w:spacing w:before="0" w:after="283"/>
              <w:jc w:val="center"/>
              <w:rPr/>
            </w:pPr>
            <w:bookmarkStart w:id="5" w:name="xdx_902_edei--EntityIncorporationStateCo"/>
            <w:bookmarkEnd w:id="5"/>
            <w:r>
              <w:rPr/>
              <w:t>Delaware</w:t>
            </w:r>
          </w:p>
        </w:tc>
        <w:tc>
          <w:tcPr>
            <w:tcW w:w="60" w:type="dxa"/>
            <w:tcBorders/>
            <w:tcMar>
              <w:bottom w:w="0" w:type="dxa"/>
            </w:tcMar>
            <w:vAlign w:val="center"/>
          </w:tcPr>
          <w:p>
            <w:pPr>
              <w:pStyle w:val="TableContents"/>
              <w:bidi w:val="0"/>
              <w:spacing w:before="0" w:after="283"/>
              <w:jc w:val="left"/>
              <w:rPr/>
            </w:pPr>
            <w:r>
              <w:rPr/>
              <w:t> </w:t>
            </w:r>
          </w:p>
        </w:tc>
        <w:tc>
          <w:tcPr>
            <w:tcW w:w="2195" w:type="dxa"/>
            <w:tcBorders>
              <w:bottom w:val="single" w:sz="12" w:space="0" w:color="000000"/>
            </w:tcBorders>
            <w:vAlign w:val="center"/>
          </w:tcPr>
          <w:p>
            <w:pPr>
              <w:pStyle w:val="TableContents"/>
              <w:bidi w:val="0"/>
              <w:spacing w:before="0" w:after="283"/>
              <w:jc w:val="center"/>
              <w:rPr>
                <w:sz w:val="20"/>
              </w:rPr>
            </w:pPr>
            <w:bookmarkStart w:id="6" w:name="xdx_90C_edei--EntityFileNumber_c20260710"/>
            <w:bookmarkEnd w:id="6"/>
            <w:r>
              <w:rPr>
                <w:sz w:val="20"/>
              </w:rPr>
              <w:t>001-38762</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12" w:space="0" w:color="000000"/>
            </w:tcBorders>
            <w:vAlign w:val="center"/>
          </w:tcPr>
          <w:p>
            <w:pPr>
              <w:pStyle w:val="TableContents"/>
              <w:bidi w:val="0"/>
              <w:spacing w:before="0" w:after="283"/>
              <w:jc w:val="center"/>
              <w:rPr>
                <w:sz w:val="20"/>
              </w:rPr>
            </w:pPr>
            <w:bookmarkStart w:id="7" w:name="xdx_90F_edei--EntityTaxIdentificationNum"/>
            <w:bookmarkEnd w:id="7"/>
            <w:r>
              <w:rPr>
                <w:sz w:val="20"/>
              </w:rPr>
              <w:t>82-3364020</w:t>
            </w:r>
          </w:p>
        </w:tc>
      </w:tr>
      <w:tr>
        <w:trPr/>
        <w:tc>
          <w:tcPr>
            <w:tcW w:w="2435" w:type="dxa"/>
            <w:tcBorders/>
            <w:tcMar>
              <w:bottom w:w="0" w:type="dxa"/>
            </w:tcMar>
            <w:vAlign w:val="center"/>
          </w:tcPr>
          <w:p>
            <w:pPr>
              <w:pStyle w:val="TableContents"/>
              <w:bidi w:val="0"/>
              <w:spacing w:before="0" w:after="283"/>
              <w:jc w:val="center"/>
              <w:rPr>
                <w:i/>
                <w:sz w:val="20"/>
              </w:rPr>
            </w:pPr>
            <w:r>
              <w:rPr>
                <w:i/>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195" w:type="dxa"/>
            <w:tcBorders/>
            <w:tcMar>
              <w:bottom w:w="0" w:type="dxa"/>
            </w:tcMar>
            <w:vAlign w:val="center"/>
          </w:tcPr>
          <w:p>
            <w:pPr>
              <w:pStyle w:val="TableContents"/>
              <w:bidi w:val="0"/>
              <w:spacing w:before="0" w:after="283"/>
              <w:jc w:val="center"/>
              <w:rPr>
                <w:i/>
                <w:sz w:val="20"/>
              </w:rPr>
            </w:pPr>
            <w:r>
              <w:rPr>
                <w:i/>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i/>
                <w:sz w:val="20"/>
              </w:rPr>
            </w:pPr>
            <w:r>
              <w:rPr>
                <w:i/>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E_edei--EntityAddressAddressLine1_"/>
      <w:bookmarkEnd w:id="8"/>
      <w:r>
        <w:rPr>
          <w:rFonts w:ascii="Times New Roman;Times;Serif" w:hAnsi="Times New Roman;Times;Serif"/>
          <w:b w:val="false"/>
          <w:i w:val="false"/>
          <w:caps w:val="false"/>
          <w:smallCaps w:val="false"/>
          <w:sz w:val="20"/>
        </w:rPr>
        <w:t xml:space="preserve">850 New Burton Road, </w:t>
      </w:r>
      <w:bookmarkStart w:id="9" w:name="xdx_90B_edei--EntityAddressAddressLine2_"/>
      <w:bookmarkEnd w:id="9"/>
      <w:r>
        <w:rPr>
          <w:rFonts w:ascii="Times New Roman;Times;Serif" w:hAnsi="Times New Roman;Times;Serif"/>
          <w:b w:val="false"/>
          <w:i w:val="false"/>
          <w:caps w:val="false"/>
          <w:smallCaps w:val="false"/>
          <w:sz w:val="20"/>
        </w:rPr>
        <w:t>Suite 201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0" w:name="xdx_902_edei--EntityAddressCityOrTown_c2"/>
      <w:bookmarkEnd w:id="10"/>
      <w:r>
        <w:rPr>
          <w:rFonts w:ascii="Times New Roman;Times;Serif" w:hAnsi="Times New Roman;Times;Serif"/>
          <w:b w:val="false"/>
          <w:i w:val="false"/>
          <w:caps w:val="false"/>
          <w:smallCaps w:val="false"/>
          <w:sz w:val="20"/>
        </w:rPr>
        <w:t xml:space="preserve">Dover, </w:t>
      </w:r>
      <w:bookmarkStart w:id="11" w:name="xdx_901_edei--EntityAddressStateOrProvin"/>
      <w:bookmarkEnd w:id="11"/>
      <w:r>
        <w:rPr>
          <w:rFonts w:ascii="Times New Roman;Times;Serif" w:hAnsi="Times New Roman;Times;Serif"/>
          <w:b w:val="false"/>
          <w:i w:val="false"/>
          <w:caps w:val="false"/>
          <w:smallCaps w:val="false"/>
          <w:sz w:val="20"/>
        </w:rPr>
        <w:t xml:space="preserve">Delaware </w:t>
      </w:r>
      <w:bookmarkStart w:id="12" w:name="xdx_90B_edei--EntityAddressPostalZipCode"/>
      <w:bookmarkEnd w:id="12"/>
      <w:r>
        <w:rPr>
          <w:rFonts w:ascii="Times New Roman;Times;Serif" w:hAnsi="Times New Roman;Times;Serif"/>
          <w:b w:val="false"/>
          <w:i w:val="false"/>
          <w:caps w:val="false"/>
          <w:smallCaps w:val="false"/>
          <w:sz w:val="20"/>
        </w:rPr>
        <w:t>19904</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including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3" w:name="xdx_903_edei--CityAreaCode_c20260710__20"/>
      <w:bookmarkEnd w:id="13"/>
      <w:r>
        <w:rPr>
          <w:rFonts w:ascii="Times New Roman;Times;Serif" w:hAnsi="Times New Roman;Times;Serif"/>
          <w:b w:val="false"/>
          <w:i w:val="false"/>
          <w:caps w:val="false"/>
          <w:smallCaps w:val="false"/>
          <w:sz w:val="20"/>
        </w:rPr>
        <w:t xml:space="preserve">972) </w:t>
      </w:r>
      <w:bookmarkStart w:id="14" w:name="xdx_90D_edei--LocalPhoneNumber_c20260710"/>
      <w:bookmarkEnd w:id="14"/>
      <w:r>
        <w:rPr>
          <w:rFonts w:ascii="Times New Roman;Times;Serif" w:hAnsi="Times New Roman;Times;Serif"/>
          <w:b w:val="false"/>
          <w:i w:val="false"/>
          <w:caps w:val="false"/>
          <w:smallCaps w:val="false"/>
          <w:sz w:val="20"/>
        </w:rPr>
        <w:t>52-437-4900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70" w:type="dxa"/>
        <w:jc w:val="left"/>
        <w:tblInd w:w="0" w:type="dxa"/>
        <w:tblLayout w:type="fixed"/>
        <w:tblCellMar>
          <w:top w:w="0" w:type="dxa"/>
          <w:left w:w="0" w:type="dxa"/>
          <w:bottom w:w="0" w:type="dxa"/>
          <w:right w:w="0" w:type="dxa"/>
        </w:tblCellMar>
      </w:tblPr>
      <w:tblGrid>
        <w:gridCol w:w="245"/>
        <w:gridCol w:w="8525"/>
      </w:tblGrid>
      <w:tr>
        <w:trPr/>
        <w:tc>
          <w:tcPr>
            <w:tcW w:w="245" w:type="dxa"/>
            <w:tcBorders/>
            <w:vAlign w:val="center"/>
          </w:tcPr>
          <w:p>
            <w:pPr>
              <w:pStyle w:val="TableContents"/>
              <w:bidi w:val="0"/>
              <w:spacing w:before="0" w:after="283"/>
              <w:jc w:val="left"/>
              <w:rPr/>
            </w:pPr>
            <w:bookmarkStart w:id="15" w:name="xdx_909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00" w:type="dxa"/>
        <w:jc w:val="left"/>
        <w:tblInd w:w="0" w:type="dxa"/>
        <w:tblLayout w:type="fixed"/>
        <w:tblCellMar>
          <w:top w:w="0" w:type="dxa"/>
          <w:left w:w="0" w:type="dxa"/>
          <w:bottom w:w="0" w:type="dxa"/>
          <w:right w:w="0" w:type="dxa"/>
        </w:tblCellMar>
      </w:tblPr>
      <w:tblGrid>
        <w:gridCol w:w="245"/>
        <w:gridCol w:w="8555"/>
      </w:tblGrid>
      <w:tr>
        <w:trPr/>
        <w:tc>
          <w:tcPr>
            <w:tcW w:w="245" w:type="dxa"/>
            <w:tcBorders/>
            <w:vAlign w:val="center"/>
          </w:tcPr>
          <w:p>
            <w:pPr>
              <w:pStyle w:val="TableContents"/>
              <w:bidi w:val="0"/>
              <w:spacing w:before="0" w:after="283"/>
              <w:jc w:val="left"/>
              <w:rPr/>
            </w:pPr>
            <w:bookmarkStart w:id="16" w:name="xdx_90C_edei--SolicitingMaterial_c202607"/>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7" w:name="xdx_907_edei--PreCommencementTenderOffer"/>
            <w:bookmarkEnd w:id="17"/>
            <w:r>
              <w:rPr/>
              <w:t>☐</w:t>
            </w:r>
          </w:p>
        </w:tc>
        <w:tc>
          <w:tcPr>
            <w:tcW w:w="9960"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960"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825"/>
        <w:gridCol w:w="60"/>
        <w:gridCol w:w="1784"/>
        <w:gridCol w:w="60"/>
        <w:gridCol w:w="4476"/>
      </w:tblGrid>
      <w:tr>
        <w:trPr/>
        <w:tc>
          <w:tcPr>
            <w:tcW w:w="3825"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784"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6" w:type="dxa"/>
            <w:tcBorders>
              <w:bottom w:val="single" w:sz="12" w:space="0" w:color="000000"/>
            </w:tcBorders>
            <w:tcMar>
              <w:bottom w:w="30" w:type="dxa"/>
            </w:tcMar>
            <w:vAlign w:val="center"/>
          </w:tcPr>
          <w:p>
            <w:pPr>
              <w:pStyle w:val="TableContents"/>
              <w:bidi w:val="0"/>
              <w:spacing w:before="0" w:after="283"/>
              <w:jc w:val="center"/>
              <w:rPr>
                <w:b/>
              </w:rPr>
            </w:pPr>
            <w:r>
              <w:rPr>
                <w:b/>
              </w:rPr>
              <w:t>Name of each exchange on which registered</w:t>
            </w:r>
          </w:p>
        </w:tc>
      </w:tr>
      <w:tr>
        <w:trPr/>
        <w:tc>
          <w:tcPr>
            <w:tcW w:w="3825" w:type="dxa"/>
            <w:tcBorders/>
            <w:shd w:fill="CCEEFF" w:val="clear"/>
            <w:tcMar>
              <w:bottom w:w="0" w:type="dxa"/>
            </w:tcMar>
            <w:vAlign w:val="center"/>
          </w:tcPr>
          <w:p>
            <w:pPr>
              <w:pStyle w:val="TableContents"/>
              <w:bidi w:val="0"/>
              <w:spacing w:before="0" w:after="283"/>
              <w:jc w:val="center"/>
              <w:rPr/>
            </w:pPr>
            <w:bookmarkStart w:id="19" w:name="xdx_90F_edei--Security12bTitle_c20260710"/>
            <w:bookmarkEnd w:id="19"/>
            <w:r>
              <w:rPr/>
              <w:t>Common Stock, $0.0001 par value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784" w:type="dxa"/>
            <w:tcBorders/>
            <w:shd w:fill="CCEEFF" w:val="clear"/>
            <w:tcMar>
              <w:bottom w:w="0" w:type="dxa"/>
            </w:tcMar>
            <w:vAlign w:val="center"/>
          </w:tcPr>
          <w:p>
            <w:pPr>
              <w:pStyle w:val="TableContents"/>
              <w:bidi w:val="0"/>
              <w:spacing w:before="0" w:after="283"/>
              <w:jc w:val="center"/>
              <w:rPr/>
            </w:pPr>
            <w:bookmarkStart w:id="20" w:name="xdx_90E_edei--TradingSymbol_c20260710__2"/>
            <w:bookmarkEnd w:id="20"/>
            <w:r>
              <w:rPr/>
              <w:t>PHGE</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76" w:type="dxa"/>
            <w:tcBorders/>
            <w:shd w:fill="CCEEFF" w:val="clear"/>
            <w:tcMar>
              <w:bottom w:w="0" w:type="dxa"/>
            </w:tcMar>
            <w:vAlign w:val="center"/>
          </w:tcPr>
          <w:p>
            <w:pPr>
              <w:pStyle w:val="TableContents"/>
              <w:bidi w:val="0"/>
              <w:spacing w:before="0" w:after="283"/>
              <w:jc w:val="center"/>
              <w:rPr/>
            </w:pPr>
            <w:bookmarkStart w:id="21" w:name="xdx_90D_edei--SecurityExchangeName_c2026"/>
            <w:bookmarkEnd w:id="21"/>
            <w:r>
              <w:rPr/>
              <w:t>NYSE American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April 13, 2026, BiomX Inc. (the “Company”) completed the acquisition of a 60% interest in Dr. Frucht Systems Ltd. from Mandragola Ltd. (the “Acquisition”) and, in connection with the Acquisition, the Company and Mandragola Ltd. (“Mandragola”) subsequently entered into a revolving line of credit of up to $2,000,000 (the “Line of Credit” and, together with the Acquisition, the “Related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 2026, the Company issued 1,013,637 restricted shares of the Company’s common stock (the “Conversion Shares”) to three assignees of Mandragola Ltd. upon the partial conversion of a convertible promissory note issued under the Line of Credit in principal amount of $379,000 extended by Mandragola. The Line of Credit and the securities issued in connection with it were described in the Company’s Current Report on Form 8-K filed with the Securities and Exchange Commission (the “SEC”) on June 5, 2026 (the “June 5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NYSE American LLC (the “Exchange”) has advised the Company that it considers the Acquisition and the Line of Credit to be related transactions that are aggregated for purposes of Section 712 of the NYSE American Company Guide. Section 712 requires stockholder approval prior to the issuance of common stock, or of securities convertible into or exercisable for common stock, in connection with the acquisition of the stock or assets of another company where the common stock to be issued equals 20% or more of the shares of common stock outstanding before the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Cancelation of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regain compliance with Section 712, the Company and the holders of the Conversion Shares have agreed to cancel all 1,013,637 Conversion Shares pending the obtaining of the requisite shareholder approval. The cancelation of the of the Conversion Shares was completed on July 10, 2026 and the Conversion Shares have been returned to the Company’s treasury and are no longer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seek stockholder approval of the issuances in the Related Transactions under Section 712 of the NYSE American Company Guide at a meeting of its stockholders. There can be no assurance that the Company will obtain such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the “safe harbor” provisions of the Private Securities Litigation Reform Act of 1995 and Section 21E of the Securities Exchange Act of 1934, as amended, including statements regarding the cancellation of the Conversion Shares, the Company’s intention to seek stockholder approval of the issuances in the Related Transactions under Section 712 of the NYSE American Company Guide, the timing of any meeting of stockholders, and the Company’s ability to regain and maintain compliance with the continued listing standards of NYSE American. These statements are based on the Company’s current expectations and are subject to risks and uncertainties, many of which are beyond the Company’s control, that could cause actual results to differ materially, including the risk that the required stockholder approval may not be obtained on the anticipated timeline or at all, the risk that the Exchange may take further action with respect to the listing of the Company’s common stock, and the other risks described in the Company’s filings with the SEC. The Company undertakes no obligation to update or revise any forward-looking statement,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750" w:type="dxa"/>
        <w:jc w:val="left"/>
        <w:tblInd w:w="0" w:type="dxa"/>
        <w:tblLayout w:type="fixed"/>
        <w:tblCellMar>
          <w:top w:w="0" w:type="dxa"/>
          <w:left w:w="0" w:type="dxa"/>
          <w:bottom w:w="28" w:type="dxa"/>
          <w:right w:w="0" w:type="dxa"/>
        </w:tblCellMar>
      </w:tblPr>
      <w:tblGrid>
        <w:gridCol w:w="1205"/>
        <w:gridCol w:w="60"/>
        <w:gridCol w:w="648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648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1205" w:type="dxa"/>
            <w:tcBorders/>
            <w:shd w:fill="CCEEFF" w:val="clear"/>
            <w:tcMar>
              <w:bottom w:w="0" w:type="dxa"/>
            </w:tcMar>
            <w:vAlign w:val="center"/>
          </w:tcPr>
          <w:p>
            <w:pPr>
              <w:pStyle w:val="TableContents"/>
              <w:bidi w:val="0"/>
              <w:spacing w:before="0" w:after="283"/>
              <w:jc w:val="left"/>
              <w:rPr>
                <w:sz w:val="20"/>
              </w:rPr>
            </w:pPr>
            <w:r>
              <w:rPr>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485" w:type="dxa"/>
            <w:tcBorders/>
            <w:shd w:fill="CCEEFF" w:val="clear"/>
            <w:tcMar>
              <w:bottom w:w="0" w:type="dxa"/>
            </w:tcMar>
            <w:vAlign w:val="center"/>
          </w:tcPr>
          <w:p>
            <w:pPr>
              <w:pStyle w:val="TableContents"/>
              <w:bidi w:val="0"/>
              <w:spacing w:before="0" w:after="283"/>
              <w:jc w:val="left"/>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BiomX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10,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605" w:type="dxa"/>
            <w:tcBorders/>
            <w:vAlign w:val="center"/>
          </w:tcPr>
          <w:p>
            <w:pPr>
              <w:pStyle w:val="TableContents"/>
              <w:bidi w:val="0"/>
              <w:spacing w:before="0" w:after="283"/>
              <w:jc w:val="left"/>
              <w:rPr/>
            </w:pPr>
            <w:r>
              <w:rPr/>
              <w:t>By:</w:t>
            </w:r>
          </w:p>
        </w:tc>
        <w:tc>
          <w:tcPr>
            <w:tcW w:w="194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Michael Oster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Name: </w:t>
            </w:r>
          </w:p>
        </w:tc>
        <w:tc>
          <w:tcPr>
            <w:tcW w:w="1940" w:type="dxa"/>
            <w:tcBorders/>
            <w:vAlign w:val="center"/>
          </w:tcPr>
          <w:p>
            <w:pPr>
              <w:pStyle w:val="TableContents"/>
              <w:bidi w:val="0"/>
              <w:spacing w:before="0" w:after="283"/>
              <w:jc w:val="left"/>
              <w:rPr>
                <w:sz w:val="20"/>
              </w:rPr>
            </w:pPr>
            <w:r>
              <w:rPr>
                <w:sz w:val="20"/>
              </w:rPr>
              <w:t>Michael Oster</w:t>
            </w:r>
          </w:p>
        </w:tc>
        <w:tc>
          <w:tcPr>
            <w:tcW w:w="75" w:type="dxa"/>
            <w:tcBorders/>
            <w:vAlign w:val="center"/>
          </w:tcPr>
          <w:p>
            <w:pPr>
              <w:pStyle w:val="TableContents"/>
              <w:bidi w:val="0"/>
              <w:spacing w:before="0" w:after="283"/>
              <w:jc w:val="left"/>
              <w:rPr/>
            </w:pPr>
            <w:r>
              <w:rPr/>
              <w:t> </w:t>
            </w:r>
          </w:p>
        </w:tc>
      </w:tr>
      <w:tr>
        <w:trPr/>
        <w:tc>
          <w:tcPr>
            <w:tcW w:w="605" w:type="dxa"/>
            <w:tcBorders/>
            <w:vAlign w:val="center"/>
          </w:tcPr>
          <w:p>
            <w:pPr>
              <w:pStyle w:val="TableContents"/>
              <w:bidi w:val="0"/>
              <w:spacing w:before="0" w:after="283"/>
              <w:jc w:val="left"/>
              <w:rPr>
                <w:sz w:val="20"/>
              </w:rPr>
            </w:pPr>
            <w:r>
              <w:rPr>
                <w:sz w:val="20"/>
              </w:rPr>
              <w:t>Title:</w:t>
            </w:r>
          </w:p>
        </w:tc>
        <w:tc>
          <w:tcPr>
            <w:tcW w:w="1940" w:type="dxa"/>
            <w:tcBorders/>
            <w:vAlign w:val="center"/>
          </w:tcPr>
          <w:p>
            <w:pPr>
              <w:pStyle w:val="TableContents"/>
              <w:bidi w:val="0"/>
              <w:spacing w:before="0" w:after="283"/>
              <w:jc w:val="left"/>
              <w:rPr>
                <w:sz w:val="20"/>
              </w:rPr>
            </w:pPr>
            <w:r>
              <w:rPr>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936</Words>
  <Characters>5089</Characters>
  <CharactersWithSpaces>6017</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